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56F581F9" w:rsidR="002A584E" w:rsidRDefault="00025565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5E2CA0A7" wp14:editId="5CA76BB9">
            <wp:simplePos x="0" y="0"/>
            <wp:positionH relativeFrom="column">
              <wp:posOffset>92710</wp:posOffset>
            </wp:positionH>
            <wp:positionV relativeFrom="paragraph">
              <wp:posOffset>481965</wp:posOffset>
            </wp:positionV>
            <wp:extent cx="2782570" cy="2644140"/>
            <wp:effectExtent l="0" t="0" r="0" b="3810"/>
            <wp:wrapTopAndBottom/>
            <wp:docPr id="3" name="图片 3" descr="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ED52FAB" wp14:editId="4CB0F044">
            <wp:simplePos x="0" y="0"/>
            <wp:positionH relativeFrom="column">
              <wp:posOffset>3356610</wp:posOffset>
            </wp:positionH>
            <wp:positionV relativeFrom="paragraph">
              <wp:posOffset>481965</wp:posOffset>
            </wp:positionV>
            <wp:extent cx="2598420" cy="2524060"/>
            <wp:effectExtent l="0" t="0" r="0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252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56437A58" w14:textId="25C6EC43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7D9E2BAB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EC1F10F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427B647A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5C1B53EA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C9BA11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059B324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088156D4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77C651CF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3D8AB76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4EE1CA71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D797F20" w14:textId="47203B13" w:rsidR="00407A15" w:rsidRDefault="00AB209E">
      <w:pPr>
        <w:pStyle w:val="a9"/>
        <w:rPr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2D801145" wp14:editId="0F07ED3C">
            <wp:simplePos x="0" y="0"/>
            <wp:positionH relativeFrom="column">
              <wp:posOffset>-11430</wp:posOffset>
            </wp:positionH>
            <wp:positionV relativeFrom="paragraph">
              <wp:posOffset>131445</wp:posOffset>
            </wp:positionV>
            <wp:extent cx="6332220" cy="458851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79FB7" w14:textId="55E771E3" w:rsidR="00407A15" w:rsidRDefault="00407A15">
      <w:pPr>
        <w:pStyle w:val="a9"/>
        <w:rPr>
          <w:szCs w:val="28"/>
        </w:rPr>
      </w:pPr>
    </w:p>
    <w:p w14:paraId="49C335F2" w14:textId="24C1E2E1" w:rsidR="002A584E" w:rsidRDefault="00123FBD">
      <w:pPr>
        <w:pStyle w:val="a9"/>
      </w:pPr>
      <w:r w:rsidRPr="00123FBD">
        <w:rPr>
          <w:noProof/>
        </w:rPr>
        <w:t xml:space="preserve"> 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F6669" w14:textId="77777777" w:rsidR="00D01B8A" w:rsidRDefault="00D01B8A" w:rsidP="00025565">
      <w:r>
        <w:separator/>
      </w:r>
    </w:p>
  </w:endnote>
  <w:endnote w:type="continuationSeparator" w:id="0">
    <w:p w14:paraId="21DA71ED" w14:textId="77777777" w:rsidR="00D01B8A" w:rsidRDefault="00D01B8A" w:rsidP="0002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D265B" w14:textId="77777777" w:rsidR="00D01B8A" w:rsidRDefault="00D01B8A" w:rsidP="00025565">
      <w:r>
        <w:separator/>
      </w:r>
    </w:p>
  </w:footnote>
  <w:footnote w:type="continuationSeparator" w:id="0">
    <w:p w14:paraId="7C96FB76" w14:textId="77777777" w:rsidR="00D01B8A" w:rsidRDefault="00D01B8A" w:rsidP="00025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25565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65450"/>
    <w:rsid w:val="007755A9"/>
    <w:rsid w:val="007D2222"/>
    <w:rsid w:val="008F6DB6"/>
    <w:rsid w:val="00977307"/>
    <w:rsid w:val="009C17D4"/>
    <w:rsid w:val="00A45CCA"/>
    <w:rsid w:val="00AB209E"/>
    <w:rsid w:val="00AE45E5"/>
    <w:rsid w:val="00BF0F36"/>
    <w:rsid w:val="00BF3932"/>
    <w:rsid w:val="00C113AB"/>
    <w:rsid w:val="00C21114"/>
    <w:rsid w:val="00C77D10"/>
    <w:rsid w:val="00C77F1C"/>
    <w:rsid w:val="00CB13C5"/>
    <w:rsid w:val="00D01B8A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2021-12-03T12:29:00Z</dcterms:created>
  <dcterms:modified xsi:type="dcterms:W3CDTF">2021-12-03T13:46:00Z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